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8"/>
        <w:gridCol w:w="1170"/>
      </w:tblGrid>
      <w:tr w:rsidR="00305D11" w:rsidRPr="00E72307" w14:paraId="67DE48EA" w14:textId="77777777" w:rsidTr="0090536B">
        <w:trPr>
          <w:trHeight w:val="533"/>
        </w:trPr>
        <w:tc>
          <w:tcPr>
            <w:tcW w:w="8568" w:type="dxa"/>
            <w:tcBorders>
              <w:bottom w:val="single" w:sz="4" w:space="0" w:color="000000"/>
            </w:tcBorders>
            <w:shd w:val="clear" w:color="auto" w:fill="DBE5F1" w:themeFill="accent1" w:themeFillTint="33"/>
            <w:vAlign w:val="center"/>
          </w:tcPr>
          <w:p w14:paraId="3E4AF7F6" w14:textId="77777777" w:rsidR="00903BAE" w:rsidRPr="00E72307" w:rsidRDefault="00C85229"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C</w:t>
            </w:r>
            <w:r w:rsidR="006F5326">
              <w:rPr>
                <w:rFonts w:cs="Arial"/>
                <w:b/>
                <w:sz w:val="20"/>
                <w:szCs w:val="20"/>
              </w:rPr>
              <w:t>ommunity Futures</w:t>
            </w:r>
            <w:r>
              <w:rPr>
                <w:rFonts w:cs="Arial"/>
                <w:b/>
                <w:sz w:val="20"/>
                <w:szCs w:val="20"/>
              </w:rPr>
              <w:t xml:space="preserve"> Performance </w:t>
            </w:r>
            <w:r w:rsidR="006F5326">
              <w:rPr>
                <w:rFonts w:cs="Arial"/>
                <w:b/>
                <w:sz w:val="20"/>
                <w:szCs w:val="20"/>
              </w:rPr>
              <w:t>Results</w:t>
            </w:r>
          </w:p>
        </w:tc>
        <w:tc>
          <w:tcPr>
            <w:tcW w:w="1170" w:type="dxa"/>
            <w:tcBorders>
              <w:bottom w:val="single" w:sz="4" w:space="0" w:color="000000"/>
            </w:tcBorders>
            <w:shd w:val="clear" w:color="auto" w:fill="DBE5F1" w:themeFill="accent1" w:themeFillTint="33"/>
            <w:vAlign w:val="center"/>
          </w:tcPr>
          <w:p w14:paraId="5D177487" w14:textId="14E49526" w:rsidR="00305D11" w:rsidRPr="00E72307" w:rsidRDefault="000E446D" w:rsidP="006F52BA">
            <w:pPr>
              <w:keepNext/>
              <w:keepLines/>
              <w:tabs>
                <w:tab w:val="left" w:pos="6024"/>
                <w:tab w:val="left" w:pos="7159"/>
              </w:tabs>
              <w:autoSpaceDE w:val="0"/>
              <w:autoSpaceDN w:val="0"/>
              <w:adjustRightInd w:val="0"/>
              <w:jc w:val="center"/>
              <w:rPr>
                <w:rFonts w:cs="Arial"/>
                <w:b/>
                <w:sz w:val="20"/>
                <w:szCs w:val="20"/>
              </w:rPr>
            </w:pPr>
            <w:r>
              <w:rPr>
                <w:rFonts w:cs="Arial"/>
                <w:b/>
                <w:sz w:val="20"/>
                <w:szCs w:val="20"/>
              </w:rPr>
              <w:t>20</w:t>
            </w:r>
            <w:r w:rsidR="001048DF">
              <w:rPr>
                <w:rFonts w:cs="Arial"/>
                <w:b/>
                <w:sz w:val="20"/>
                <w:szCs w:val="20"/>
              </w:rPr>
              <w:t>2</w:t>
            </w:r>
            <w:r w:rsidR="00B91766">
              <w:rPr>
                <w:rFonts w:cs="Arial"/>
                <w:b/>
                <w:sz w:val="20"/>
                <w:szCs w:val="20"/>
              </w:rPr>
              <w:t>3</w:t>
            </w:r>
            <w:r w:rsidR="0090536B">
              <w:rPr>
                <w:rFonts w:cs="Arial"/>
                <w:b/>
                <w:sz w:val="20"/>
                <w:szCs w:val="20"/>
              </w:rPr>
              <w:t>-</w:t>
            </w:r>
            <w:r w:rsidR="00D97949">
              <w:rPr>
                <w:rFonts w:cs="Arial"/>
                <w:b/>
                <w:sz w:val="20"/>
                <w:szCs w:val="20"/>
              </w:rPr>
              <w:t>2</w:t>
            </w:r>
            <w:r w:rsidR="00B91766">
              <w:rPr>
                <w:rFonts w:cs="Arial"/>
                <w:b/>
                <w:sz w:val="20"/>
                <w:szCs w:val="20"/>
              </w:rPr>
              <w:t>4</w:t>
            </w:r>
          </w:p>
        </w:tc>
      </w:tr>
      <w:tr w:rsidR="00305D11" w:rsidRPr="00E72307" w14:paraId="7CC894EB" w14:textId="77777777" w:rsidTr="000032F8">
        <w:trPr>
          <w:trHeight w:val="659"/>
        </w:trPr>
        <w:tc>
          <w:tcPr>
            <w:tcW w:w="9738" w:type="dxa"/>
            <w:gridSpan w:val="2"/>
            <w:tcBorders>
              <w:bottom w:val="single" w:sz="4" w:space="0" w:color="000000"/>
            </w:tcBorders>
            <w:shd w:val="clear" w:color="auto" w:fill="auto"/>
            <w:vAlign w:val="center"/>
          </w:tcPr>
          <w:p w14:paraId="55A02C19" w14:textId="77777777" w:rsidR="00305D11" w:rsidRPr="00E72307" w:rsidRDefault="00305D11" w:rsidP="000032F8">
            <w:pPr>
              <w:keepNext/>
              <w:keepLines/>
              <w:tabs>
                <w:tab w:val="left" w:pos="6024"/>
                <w:tab w:val="left" w:pos="7159"/>
              </w:tabs>
              <w:autoSpaceDE w:val="0"/>
              <w:autoSpaceDN w:val="0"/>
              <w:adjustRightInd w:val="0"/>
              <w:spacing w:after="0"/>
              <w:jc w:val="center"/>
              <w:rPr>
                <w:rFonts w:cs="Arial"/>
                <w:b/>
                <w:sz w:val="20"/>
                <w:szCs w:val="20"/>
              </w:rPr>
            </w:pPr>
            <w:r w:rsidRPr="00E72307">
              <w:rPr>
                <w:rFonts w:cs="Arial"/>
                <w:b/>
                <w:i/>
                <w:sz w:val="20"/>
                <w:szCs w:val="20"/>
              </w:rPr>
              <w:t>Strong rural community strategic planning and implementation</w:t>
            </w:r>
          </w:p>
        </w:tc>
      </w:tr>
      <w:tr w:rsidR="00305D11" w:rsidRPr="00E72307" w14:paraId="48FA43F3" w14:textId="77777777" w:rsidTr="0090536B">
        <w:trPr>
          <w:trHeight w:val="443"/>
        </w:trPr>
        <w:tc>
          <w:tcPr>
            <w:tcW w:w="8568" w:type="dxa"/>
            <w:tcBorders>
              <w:top w:val="single" w:sz="4" w:space="0" w:color="000000"/>
              <w:bottom w:val="single" w:sz="4" w:space="0" w:color="auto"/>
            </w:tcBorders>
            <w:shd w:val="clear" w:color="auto" w:fill="auto"/>
            <w:vAlign w:val="center"/>
          </w:tcPr>
          <w:p w14:paraId="3605F368" w14:textId="77777777" w:rsidR="0063129F" w:rsidRPr="00E351D5" w:rsidRDefault="00305D11" w:rsidP="00CE1F1B">
            <w:pPr>
              <w:keepNext/>
              <w:keepLines/>
              <w:tabs>
                <w:tab w:val="left" w:pos="6024"/>
                <w:tab w:val="left" w:pos="7159"/>
              </w:tabs>
              <w:autoSpaceDE w:val="0"/>
              <w:autoSpaceDN w:val="0"/>
              <w:adjustRightInd w:val="0"/>
              <w:rPr>
                <w:rFonts w:cs="Arial"/>
                <w:b/>
                <w:sz w:val="20"/>
                <w:szCs w:val="20"/>
              </w:rPr>
            </w:pPr>
            <w:r w:rsidRPr="00E351D5">
              <w:rPr>
                <w:rFonts w:cs="Arial"/>
                <w:sz w:val="20"/>
                <w:szCs w:val="20"/>
              </w:rPr>
              <w:t>1. Total number</w:t>
            </w:r>
            <w:r w:rsidR="003E2596">
              <w:rPr>
                <w:rFonts w:cs="Arial"/>
                <w:sz w:val="20"/>
                <w:szCs w:val="20"/>
              </w:rPr>
              <w:t xml:space="preserve"> of community</w:t>
            </w:r>
            <w:r w:rsidR="00D011D2">
              <w:rPr>
                <w:rFonts w:cs="Arial"/>
                <w:sz w:val="20"/>
                <w:szCs w:val="20"/>
              </w:rPr>
              <w:t>-</w:t>
            </w:r>
            <w:r w:rsidR="003E2596">
              <w:rPr>
                <w:rFonts w:cs="Arial"/>
                <w:sz w:val="20"/>
                <w:szCs w:val="20"/>
              </w:rPr>
              <w:t>based projects</w:t>
            </w:r>
            <w:r w:rsidR="00716BF1">
              <w:rPr>
                <w:rFonts w:cs="Arial"/>
                <w:sz w:val="20"/>
                <w:szCs w:val="20"/>
              </w:rPr>
              <w:t xml:space="preserve"> (new &amp; on-going)</w:t>
            </w:r>
          </w:p>
        </w:tc>
        <w:tc>
          <w:tcPr>
            <w:tcW w:w="1170" w:type="dxa"/>
            <w:tcBorders>
              <w:top w:val="single" w:sz="4" w:space="0" w:color="000000"/>
              <w:bottom w:val="single" w:sz="4" w:space="0" w:color="auto"/>
            </w:tcBorders>
            <w:shd w:val="clear" w:color="auto" w:fill="auto"/>
            <w:vAlign w:val="center"/>
          </w:tcPr>
          <w:p w14:paraId="1D57B653" w14:textId="6AA5072F" w:rsidR="00305D11" w:rsidRPr="00E72307" w:rsidRDefault="005D635F"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35</w:t>
            </w:r>
          </w:p>
        </w:tc>
      </w:tr>
      <w:tr w:rsidR="00D011D2" w:rsidRPr="00E72307" w14:paraId="50470208" w14:textId="77777777" w:rsidTr="0090536B">
        <w:trPr>
          <w:trHeight w:val="443"/>
        </w:trPr>
        <w:tc>
          <w:tcPr>
            <w:tcW w:w="8568" w:type="dxa"/>
            <w:tcBorders>
              <w:top w:val="single" w:sz="4" w:space="0" w:color="000000"/>
              <w:bottom w:val="single" w:sz="4" w:space="0" w:color="auto"/>
            </w:tcBorders>
            <w:shd w:val="clear" w:color="auto" w:fill="auto"/>
            <w:vAlign w:val="center"/>
          </w:tcPr>
          <w:p w14:paraId="440DAB27" w14:textId="77777777" w:rsidR="00D011D2" w:rsidRPr="00E351D5" w:rsidRDefault="00D011D2" w:rsidP="00716BF1">
            <w:pPr>
              <w:keepNext/>
              <w:keepLines/>
              <w:tabs>
                <w:tab w:val="left" w:pos="6024"/>
                <w:tab w:val="left" w:pos="7159"/>
              </w:tabs>
              <w:autoSpaceDE w:val="0"/>
              <w:autoSpaceDN w:val="0"/>
              <w:adjustRightInd w:val="0"/>
              <w:rPr>
                <w:rFonts w:cs="Arial"/>
                <w:b/>
                <w:sz w:val="20"/>
                <w:szCs w:val="20"/>
              </w:rPr>
            </w:pPr>
            <w:r>
              <w:rPr>
                <w:rFonts w:cs="Arial"/>
                <w:sz w:val="20"/>
                <w:szCs w:val="20"/>
              </w:rPr>
              <w:t>2</w:t>
            </w:r>
            <w:r w:rsidRPr="00E351D5">
              <w:rPr>
                <w:rFonts w:cs="Arial"/>
                <w:sz w:val="20"/>
                <w:szCs w:val="20"/>
              </w:rPr>
              <w:t xml:space="preserve">. </w:t>
            </w:r>
            <w:r w:rsidR="00716BF1">
              <w:rPr>
                <w:rFonts w:cs="Arial"/>
                <w:sz w:val="20"/>
                <w:szCs w:val="20"/>
              </w:rPr>
              <w:t>Total number of local and regionally-based community strategic</w:t>
            </w:r>
            <w:r w:rsidR="00CE1F1B">
              <w:rPr>
                <w:rFonts w:cs="Arial"/>
                <w:sz w:val="20"/>
                <w:szCs w:val="20"/>
              </w:rPr>
              <w:t xml:space="preserve"> plans developed and/or updated</w:t>
            </w:r>
          </w:p>
        </w:tc>
        <w:tc>
          <w:tcPr>
            <w:tcW w:w="1170" w:type="dxa"/>
            <w:tcBorders>
              <w:top w:val="single" w:sz="4" w:space="0" w:color="000000"/>
              <w:bottom w:val="single" w:sz="4" w:space="0" w:color="auto"/>
            </w:tcBorders>
            <w:shd w:val="clear" w:color="auto" w:fill="auto"/>
            <w:vAlign w:val="center"/>
          </w:tcPr>
          <w:p w14:paraId="5B6BC3E5" w14:textId="28A22017" w:rsidR="00D011D2" w:rsidRPr="00E72307" w:rsidRDefault="00E8370D" w:rsidP="00D011D2">
            <w:pPr>
              <w:keepNext/>
              <w:keepLines/>
              <w:tabs>
                <w:tab w:val="left" w:pos="6024"/>
                <w:tab w:val="left" w:pos="7159"/>
              </w:tabs>
              <w:autoSpaceDE w:val="0"/>
              <w:autoSpaceDN w:val="0"/>
              <w:adjustRightInd w:val="0"/>
              <w:jc w:val="center"/>
              <w:rPr>
                <w:rFonts w:cs="Arial"/>
                <w:b/>
                <w:sz w:val="20"/>
                <w:szCs w:val="20"/>
              </w:rPr>
            </w:pPr>
            <w:r>
              <w:rPr>
                <w:rFonts w:cs="Arial"/>
                <w:b/>
                <w:sz w:val="20"/>
                <w:szCs w:val="20"/>
              </w:rPr>
              <w:t>2</w:t>
            </w:r>
          </w:p>
        </w:tc>
      </w:tr>
      <w:tr w:rsidR="003E2596" w:rsidRPr="00E72307" w14:paraId="6DBE85C1" w14:textId="77777777" w:rsidTr="0090536B">
        <w:trPr>
          <w:trHeight w:val="463"/>
        </w:trPr>
        <w:tc>
          <w:tcPr>
            <w:tcW w:w="8568" w:type="dxa"/>
            <w:tcBorders>
              <w:top w:val="single" w:sz="4" w:space="0" w:color="auto"/>
            </w:tcBorders>
            <w:shd w:val="clear" w:color="auto" w:fill="auto"/>
            <w:vAlign w:val="center"/>
          </w:tcPr>
          <w:p w14:paraId="4F25BE94" w14:textId="77777777" w:rsidR="003E2596" w:rsidRPr="00E351D5" w:rsidRDefault="003E2596" w:rsidP="00D011D2">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business development services</w:t>
            </w:r>
          </w:p>
        </w:tc>
        <w:tc>
          <w:tcPr>
            <w:tcW w:w="1170" w:type="dxa"/>
            <w:tcBorders>
              <w:top w:val="single" w:sz="4" w:space="0" w:color="auto"/>
              <w:bottom w:val="single" w:sz="4" w:space="0" w:color="auto"/>
            </w:tcBorders>
            <w:shd w:val="clear" w:color="auto" w:fill="auto"/>
            <w:vAlign w:val="center"/>
          </w:tcPr>
          <w:p w14:paraId="760D0D27" w14:textId="77777777" w:rsidR="003E2596" w:rsidRPr="00E72307" w:rsidRDefault="003E2596" w:rsidP="00D011D2">
            <w:pPr>
              <w:keepNext/>
              <w:keepLines/>
              <w:tabs>
                <w:tab w:val="left" w:pos="6024"/>
                <w:tab w:val="left" w:pos="7159"/>
              </w:tabs>
              <w:autoSpaceDE w:val="0"/>
              <w:autoSpaceDN w:val="0"/>
              <w:adjustRightInd w:val="0"/>
              <w:jc w:val="center"/>
              <w:rPr>
                <w:rFonts w:cs="Arial"/>
                <w:b/>
                <w:sz w:val="20"/>
                <w:szCs w:val="20"/>
              </w:rPr>
            </w:pPr>
          </w:p>
        </w:tc>
      </w:tr>
      <w:tr w:rsidR="003E2596" w:rsidRPr="00E72307" w14:paraId="22939AE6" w14:textId="77777777" w:rsidTr="0090536B">
        <w:trPr>
          <w:trHeight w:val="463"/>
        </w:trPr>
        <w:tc>
          <w:tcPr>
            <w:tcW w:w="8568" w:type="dxa"/>
            <w:shd w:val="clear" w:color="auto" w:fill="auto"/>
            <w:vAlign w:val="center"/>
          </w:tcPr>
          <w:p w14:paraId="411E2F3B" w14:textId="77777777" w:rsidR="003E2596" w:rsidRPr="00FE5858" w:rsidRDefault="00FE5858" w:rsidP="00FE5858">
            <w:pPr>
              <w:keepNext/>
              <w:keepLines/>
              <w:tabs>
                <w:tab w:val="left" w:pos="6024"/>
                <w:tab w:val="left" w:pos="7159"/>
              </w:tabs>
              <w:autoSpaceDE w:val="0"/>
              <w:autoSpaceDN w:val="0"/>
              <w:adjustRightInd w:val="0"/>
              <w:rPr>
                <w:rFonts w:cs="Arial"/>
                <w:i/>
                <w:sz w:val="20"/>
                <w:szCs w:val="20"/>
              </w:rPr>
            </w:pPr>
            <w:r>
              <w:rPr>
                <w:rFonts w:cs="Arial"/>
                <w:sz w:val="20"/>
                <w:szCs w:val="20"/>
              </w:rPr>
              <w:t>3</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training session participants </w:t>
            </w:r>
          </w:p>
        </w:tc>
        <w:tc>
          <w:tcPr>
            <w:tcW w:w="1170" w:type="dxa"/>
            <w:tcBorders>
              <w:top w:val="single" w:sz="4" w:space="0" w:color="auto"/>
              <w:bottom w:val="single" w:sz="4" w:space="0" w:color="auto"/>
            </w:tcBorders>
            <w:shd w:val="clear" w:color="auto" w:fill="auto"/>
            <w:vAlign w:val="center"/>
          </w:tcPr>
          <w:p w14:paraId="3E06B67C" w14:textId="311284DF" w:rsidR="003E2596" w:rsidRPr="00E72307" w:rsidRDefault="001842E1"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760</w:t>
            </w:r>
          </w:p>
        </w:tc>
      </w:tr>
      <w:tr w:rsidR="003E2596" w:rsidRPr="00E72307" w14:paraId="74F7E9F3" w14:textId="77777777" w:rsidTr="0090536B">
        <w:trPr>
          <w:trHeight w:val="463"/>
        </w:trPr>
        <w:tc>
          <w:tcPr>
            <w:tcW w:w="8568" w:type="dxa"/>
            <w:shd w:val="clear" w:color="auto" w:fill="auto"/>
            <w:vAlign w:val="center"/>
          </w:tcPr>
          <w:p w14:paraId="13AA39F5" w14:textId="77777777" w:rsidR="003E2596" w:rsidRPr="00FE5858" w:rsidRDefault="00FE5858" w:rsidP="00FE5858">
            <w:pPr>
              <w:keepNext/>
              <w:keepLines/>
              <w:tabs>
                <w:tab w:val="left" w:pos="6024"/>
                <w:tab w:val="left" w:pos="7159"/>
              </w:tabs>
              <w:autoSpaceDE w:val="0"/>
              <w:autoSpaceDN w:val="0"/>
              <w:adjustRightInd w:val="0"/>
              <w:rPr>
                <w:rFonts w:cs="Arial"/>
                <w:i/>
                <w:sz w:val="20"/>
                <w:szCs w:val="20"/>
              </w:rPr>
            </w:pPr>
            <w:r>
              <w:rPr>
                <w:rFonts w:cs="Arial"/>
                <w:sz w:val="20"/>
                <w:szCs w:val="20"/>
              </w:rPr>
              <w:t>4</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advisory services </w:t>
            </w:r>
          </w:p>
        </w:tc>
        <w:tc>
          <w:tcPr>
            <w:tcW w:w="1170" w:type="dxa"/>
            <w:tcBorders>
              <w:top w:val="single" w:sz="4" w:space="0" w:color="auto"/>
              <w:bottom w:val="single" w:sz="4" w:space="0" w:color="auto"/>
            </w:tcBorders>
            <w:shd w:val="clear" w:color="auto" w:fill="auto"/>
            <w:vAlign w:val="center"/>
          </w:tcPr>
          <w:p w14:paraId="047E1BAA" w14:textId="648F5EE6" w:rsidR="003E2596" w:rsidRPr="00E72307" w:rsidRDefault="001842E1"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1406</w:t>
            </w:r>
          </w:p>
        </w:tc>
      </w:tr>
      <w:tr w:rsidR="003E2596" w:rsidRPr="00E72307" w14:paraId="6CD15709" w14:textId="77777777" w:rsidTr="0090536B">
        <w:trPr>
          <w:trHeight w:val="463"/>
        </w:trPr>
        <w:tc>
          <w:tcPr>
            <w:tcW w:w="8568" w:type="dxa"/>
            <w:shd w:val="clear" w:color="auto" w:fill="auto"/>
            <w:vAlign w:val="center"/>
          </w:tcPr>
          <w:p w14:paraId="65D6FB06" w14:textId="77777777" w:rsidR="003E2596" w:rsidRPr="00E351D5" w:rsidRDefault="003E2596" w:rsidP="0056519D">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capital and leveraged capital</w:t>
            </w:r>
          </w:p>
        </w:tc>
        <w:tc>
          <w:tcPr>
            <w:tcW w:w="1170" w:type="dxa"/>
            <w:tcBorders>
              <w:top w:val="single" w:sz="4" w:space="0" w:color="auto"/>
              <w:bottom w:val="single" w:sz="4" w:space="0" w:color="000000"/>
            </w:tcBorders>
            <w:shd w:val="clear" w:color="auto" w:fill="auto"/>
            <w:vAlign w:val="center"/>
          </w:tcPr>
          <w:p w14:paraId="0368F6D1" w14:textId="77777777" w:rsidR="003E2596" w:rsidRPr="00E72307" w:rsidRDefault="003E2596" w:rsidP="000032F8">
            <w:pPr>
              <w:keepNext/>
              <w:keepLines/>
              <w:tabs>
                <w:tab w:val="left" w:pos="6024"/>
                <w:tab w:val="left" w:pos="7159"/>
              </w:tabs>
              <w:autoSpaceDE w:val="0"/>
              <w:autoSpaceDN w:val="0"/>
              <w:adjustRightInd w:val="0"/>
              <w:jc w:val="center"/>
              <w:rPr>
                <w:rFonts w:cs="Arial"/>
                <w:b/>
                <w:sz w:val="20"/>
                <w:szCs w:val="20"/>
              </w:rPr>
            </w:pPr>
          </w:p>
        </w:tc>
      </w:tr>
      <w:tr w:rsidR="00BE6567" w:rsidRPr="00E72307" w14:paraId="2DA4D307" w14:textId="77777777" w:rsidTr="0090536B">
        <w:trPr>
          <w:trHeight w:val="355"/>
        </w:trPr>
        <w:tc>
          <w:tcPr>
            <w:tcW w:w="8568" w:type="dxa"/>
            <w:shd w:val="clear" w:color="auto" w:fill="auto"/>
            <w:vAlign w:val="center"/>
          </w:tcPr>
          <w:p w14:paraId="3604ED6E" w14:textId="77777777" w:rsidR="00BE6567" w:rsidRDefault="00FE5858" w:rsidP="00FE5858">
            <w:pPr>
              <w:keepNext/>
              <w:keepLines/>
              <w:tabs>
                <w:tab w:val="left" w:pos="6024"/>
                <w:tab w:val="left" w:pos="7159"/>
              </w:tabs>
              <w:autoSpaceDE w:val="0"/>
              <w:autoSpaceDN w:val="0"/>
              <w:adjustRightInd w:val="0"/>
              <w:rPr>
                <w:rFonts w:cs="Arial"/>
                <w:sz w:val="20"/>
                <w:szCs w:val="20"/>
              </w:rPr>
            </w:pPr>
            <w:r>
              <w:rPr>
                <w:rFonts w:cs="Arial"/>
                <w:sz w:val="20"/>
                <w:szCs w:val="20"/>
              </w:rPr>
              <w:t>5</w:t>
            </w:r>
            <w:r w:rsidR="00BE6567">
              <w:rPr>
                <w:rFonts w:cs="Arial"/>
                <w:sz w:val="20"/>
                <w:szCs w:val="20"/>
              </w:rPr>
              <w:t>.  Dollar value of loans</w:t>
            </w:r>
          </w:p>
        </w:tc>
        <w:tc>
          <w:tcPr>
            <w:tcW w:w="1170" w:type="dxa"/>
            <w:shd w:val="clear" w:color="auto" w:fill="auto"/>
            <w:vAlign w:val="center"/>
          </w:tcPr>
          <w:p w14:paraId="761563DC" w14:textId="403CD24B" w:rsidR="00BE6567" w:rsidRPr="00E72307" w:rsidRDefault="001842E1"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$488,220</w:t>
            </w:r>
          </w:p>
        </w:tc>
      </w:tr>
      <w:tr w:rsidR="004E0068" w:rsidRPr="00E72307" w14:paraId="57CD6B30" w14:textId="77777777" w:rsidTr="0090536B">
        <w:trPr>
          <w:trHeight w:val="355"/>
        </w:trPr>
        <w:tc>
          <w:tcPr>
            <w:tcW w:w="8568" w:type="dxa"/>
            <w:shd w:val="clear" w:color="auto" w:fill="auto"/>
            <w:vAlign w:val="center"/>
          </w:tcPr>
          <w:p w14:paraId="274080CC" w14:textId="77777777" w:rsidR="004E0068" w:rsidRDefault="00FE5858" w:rsidP="00FE5858">
            <w:pPr>
              <w:keepNext/>
              <w:keepLines/>
              <w:tabs>
                <w:tab w:val="left" w:pos="6024"/>
                <w:tab w:val="left" w:pos="7159"/>
              </w:tabs>
              <w:autoSpaceDE w:val="0"/>
              <w:autoSpaceDN w:val="0"/>
              <w:adjustRightInd w:val="0"/>
              <w:rPr>
                <w:rFonts w:cs="Arial"/>
                <w:sz w:val="20"/>
                <w:szCs w:val="20"/>
              </w:rPr>
            </w:pPr>
            <w:r>
              <w:rPr>
                <w:rFonts w:cs="Arial"/>
                <w:sz w:val="20"/>
                <w:szCs w:val="20"/>
              </w:rPr>
              <w:t>6</w:t>
            </w:r>
            <w:r w:rsidR="004E0068">
              <w:rPr>
                <w:rFonts w:cs="Arial"/>
                <w:sz w:val="20"/>
                <w:szCs w:val="20"/>
              </w:rPr>
              <w:t xml:space="preserve">. </w:t>
            </w:r>
            <w:r w:rsidR="00CE1F1B">
              <w:rPr>
                <w:rFonts w:cs="Arial"/>
                <w:sz w:val="20"/>
                <w:szCs w:val="20"/>
              </w:rPr>
              <w:t>Total n</w:t>
            </w:r>
            <w:r w:rsidR="004E0068">
              <w:rPr>
                <w:rFonts w:cs="Arial"/>
                <w:sz w:val="20"/>
                <w:szCs w:val="20"/>
              </w:rPr>
              <w:t>umber</w:t>
            </w:r>
            <w:r w:rsidR="004E0068" w:rsidRPr="00E72307">
              <w:rPr>
                <w:rFonts w:cs="Arial"/>
                <w:sz w:val="20"/>
                <w:szCs w:val="20"/>
              </w:rPr>
              <w:t xml:space="preserve"> of loans  </w:t>
            </w:r>
          </w:p>
        </w:tc>
        <w:tc>
          <w:tcPr>
            <w:tcW w:w="1170" w:type="dxa"/>
            <w:shd w:val="clear" w:color="auto" w:fill="auto"/>
            <w:vAlign w:val="center"/>
          </w:tcPr>
          <w:p w14:paraId="7099CFFF" w14:textId="785C6A00" w:rsidR="004E0068" w:rsidRPr="00E72307" w:rsidRDefault="001842E1"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7</w:t>
            </w:r>
          </w:p>
        </w:tc>
      </w:tr>
      <w:tr w:rsidR="003E2596" w:rsidRPr="00E72307" w14:paraId="01B95258" w14:textId="77777777" w:rsidTr="0090536B">
        <w:trPr>
          <w:trHeight w:val="355"/>
        </w:trPr>
        <w:tc>
          <w:tcPr>
            <w:tcW w:w="8568" w:type="dxa"/>
            <w:shd w:val="clear" w:color="auto" w:fill="auto"/>
            <w:vAlign w:val="center"/>
          </w:tcPr>
          <w:p w14:paraId="7E95EC85" w14:textId="77777777" w:rsidR="003E2596" w:rsidRDefault="00FE5858" w:rsidP="00FE5858">
            <w:pPr>
              <w:keepNext/>
              <w:keepLines/>
              <w:tabs>
                <w:tab w:val="left" w:pos="6024"/>
                <w:tab w:val="left" w:pos="7159"/>
              </w:tabs>
              <w:autoSpaceDE w:val="0"/>
              <w:autoSpaceDN w:val="0"/>
              <w:adjustRightInd w:val="0"/>
              <w:jc w:val="both"/>
              <w:rPr>
                <w:rFonts w:cs="Arial"/>
                <w:sz w:val="20"/>
                <w:szCs w:val="20"/>
              </w:rPr>
            </w:pPr>
            <w:r>
              <w:rPr>
                <w:rFonts w:cs="Arial"/>
                <w:sz w:val="20"/>
                <w:szCs w:val="20"/>
              </w:rPr>
              <w:t>7</w:t>
            </w:r>
            <w:r w:rsidR="004E0068">
              <w:rPr>
                <w:rFonts w:cs="Arial"/>
                <w:sz w:val="20"/>
                <w:szCs w:val="20"/>
              </w:rPr>
              <w:t>. Number</w:t>
            </w:r>
            <w:r w:rsidR="004E0068" w:rsidRPr="00E72307">
              <w:rPr>
                <w:rFonts w:cs="Arial"/>
                <w:sz w:val="20"/>
                <w:szCs w:val="20"/>
              </w:rPr>
              <w:t xml:space="preserve"> of </w:t>
            </w:r>
            <w:r w:rsidR="004E0068">
              <w:rPr>
                <w:rFonts w:cs="Arial"/>
                <w:sz w:val="20"/>
                <w:szCs w:val="20"/>
              </w:rPr>
              <w:t>jobs created/maintained/expanded</w:t>
            </w:r>
            <w:r w:rsidR="00716BF1">
              <w:rPr>
                <w:rFonts w:cs="Arial"/>
                <w:sz w:val="20"/>
                <w:szCs w:val="20"/>
              </w:rPr>
              <w:t xml:space="preserve"> </w:t>
            </w:r>
            <w:r w:rsidR="004E0068">
              <w:rPr>
                <w:rFonts w:cs="Arial"/>
                <w:sz w:val="20"/>
                <w:szCs w:val="20"/>
              </w:rPr>
              <w:t>through lending</w:t>
            </w:r>
            <w:r w:rsidR="004E0068">
              <w:rPr>
                <w:rStyle w:val="FootnoteReference"/>
                <w:rFonts w:cs="Arial"/>
                <w:sz w:val="20"/>
                <w:szCs w:val="20"/>
              </w:rPr>
              <w:footnoteReference w:id="1"/>
            </w:r>
          </w:p>
        </w:tc>
        <w:tc>
          <w:tcPr>
            <w:tcW w:w="1170" w:type="dxa"/>
            <w:shd w:val="clear" w:color="auto" w:fill="auto"/>
            <w:vAlign w:val="center"/>
          </w:tcPr>
          <w:p w14:paraId="589FB395" w14:textId="57A63BDB" w:rsidR="003E2596" w:rsidRPr="00E72307" w:rsidRDefault="006568E7"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29</w:t>
            </w:r>
          </w:p>
        </w:tc>
      </w:tr>
      <w:tr w:rsidR="003E2596" w:rsidRPr="00E72307" w14:paraId="253460BD" w14:textId="77777777" w:rsidTr="000032F8">
        <w:trPr>
          <w:trHeight w:val="562"/>
        </w:trPr>
        <w:tc>
          <w:tcPr>
            <w:tcW w:w="9738" w:type="dxa"/>
            <w:gridSpan w:val="2"/>
            <w:shd w:val="clear" w:color="auto" w:fill="auto"/>
            <w:vAlign w:val="center"/>
          </w:tcPr>
          <w:p w14:paraId="3D98AD12" w14:textId="77777777" w:rsidR="003E2596" w:rsidRPr="00E72307" w:rsidRDefault="003E2596" w:rsidP="000032F8">
            <w:pPr>
              <w:keepNext/>
              <w:keepLines/>
              <w:tabs>
                <w:tab w:val="left" w:pos="6024"/>
                <w:tab w:val="left" w:pos="7159"/>
              </w:tabs>
              <w:autoSpaceDE w:val="0"/>
              <w:autoSpaceDN w:val="0"/>
              <w:adjustRightInd w:val="0"/>
              <w:rPr>
                <w:rFonts w:cs="Arial"/>
                <w:b/>
                <w:sz w:val="20"/>
                <w:szCs w:val="20"/>
              </w:rPr>
            </w:pPr>
          </w:p>
        </w:tc>
      </w:tr>
    </w:tbl>
    <w:tbl>
      <w:tblPr>
        <w:tblStyle w:val="TableGrid"/>
        <w:tblW w:w="9738" w:type="dxa"/>
        <w:tblLook w:val="04A0" w:firstRow="1" w:lastRow="0" w:firstColumn="1" w:lastColumn="0" w:noHBand="0" w:noVBand="1"/>
      </w:tblPr>
      <w:tblGrid>
        <w:gridCol w:w="9738"/>
      </w:tblGrid>
      <w:tr w:rsidR="00F609C9" w14:paraId="1194961D" w14:textId="77777777" w:rsidTr="000032F8">
        <w:tc>
          <w:tcPr>
            <w:tcW w:w="9738" w:type="dxa"/>
          </w:tcPr>
          <w:p w14:paraId="656FEAEE" w14:textId="77777777" w:rsidR="000032F8" w:rsidRPr="00B86B60" w:rsidRDefault="00B86B60" w:rsidP="000032F8">
            <w:pPr>
              <w:rPr>
                <w:rFonts w:cs="Arial"/>
                <w:sz w:val="20"/>
                <w:szCs w:val="20"/>
              </w:rPr>
            </w:pPr>
            <w:r w:rsidRPr="00B86B60">
              <w:rPr>
                <w:rFonts w:cs="Arial"/>
                <w:sz w:val="20"/>
                <w:szCs w:val="20"/>
              </w:rPr>
              <w:t>Provide a</w:t>
            </w:r>
            <w:r w:rsidR="008B0CCB" w:rsidRPr="00B86B60">
              <w:rPr>
                <w:rFonts w:cs="Arial"/>
                <w:sz w:val="20"/>
                <w:szCs w:val="20"/>
              </w:rPr>
              <w:t>dditional Information</w:t>
            </w:r>
            <w:r w:rsidRPr="00B86B60">
              <w:rPr>
                <w:rFonts w:cs="Arial"/>
                <w:sz w:val="20"/>
                <w:szCs w:val="20"/>
              </w:rPr>
              <w:t xml:space="preserve"> (e.g. Success stories, </w:t>
            </w:r>
            <w:r w:rsidR="00E514E4">
              <w:rPr>
                <w:rFonts w:cs="Arial"/>
                <w:sz w:val="20"/>
                <w:szCs w:val="20"/>
              </w:rPr>
              <w:t xml:space="preserve">Links to priorities, </w:t>
            </w:r>
            <w:r w:rsidRPr="00B86B60">
              <w:rPr>
                <w:rFonts w:cs="Arial"/>
                <w:sz w:val="20"/>
                <w:szCs w:val="20"/>
              </w:rPr>
              <w:t xml:space="preserve">leveraging work, communication events, </w:t>
            </w:r>
            <w:proofErr w:type="spellStart"/>
            <w:r w:rsidRPr="00B86B60">
              <w:rPr>
                <w:rFonts w:cs="Arial"/>
                <w:sz w:val="20"/>
                <w:szCs w:val="20"/>
              </w:rPr>
              <w:t>etc</w:t>
            </w:r>
            <w:proofErr w:type="spellEnd"/>
            <w:r w:rsidRPr="00B86B60">
              <w:rPr>
                <w:rFonts w:cs="Arial"/>
                <w:sz w:val="20"/>
                <w:szCs w:val="20"/>
              </w:rPr>
              <w:t>…)</w:t>
            </w:r>
            <w:r w:rsidR="000032F8">
              <w:rPr>
                <w:rFonts w:cs="Arial"/>
                <w:sz w:val="20"/>
                <w:szCs w:val="20"/>
              </w:rPr>
              <w:t xml:space="preserve"> </w:t>
            </w:r>
            <w:r w:rsidR="000032F8">
              <w:rPr>
                <w:rFonts w:cs="Arial"/>
                <w:sz w:val="20"/>
                <w:szCs w:val="20"/>
              </w:rPr>
              <w:br/>
            </w:r>
          </w:p>
        </w:tc>
      </w:tr>
      <w:tr w:rsidR="00F609C9" w14:paraId="79FC7B7E" w14:textId="77777777" w:rsidTr="000032F8">
        <w:tc>
          <w:tcPr>
            <w:tcW w:w="9738" w:type="dxa"/>
          </w:tcPr>
          <w:p w14:paraId="291F366B" w14:textId="02A10E8B" w:rsidR="004D51EA" w:rsidRPr="004D51EA" w:rsidRDefault="004D51EA" w:rsidP="004D51EA">
            <w:pPr>
              <w:spacing w:before="240" w:after="0" w:line="240" w:lineRule="auto"/>
              <w:rPr>
                <w:rFonts w:cs="Arial"/>
                <w:sz w:val="20"/>
                <w:szCs w:val="20"/>
              </w:rPr>
            </w:pPr>
            <w:r w:rsidRPr="004D51EA">
              <w:rPr>
                <w:rFonts w:cs="Arial"/>
                <w:sz w:val="20"/>
                <w:szCs w:val="20"/>
              </w:rPr>
              <w:t>The 2023-2024 year for Community Futures Lesser Slave Lake Region (CFLSLR) has proven to be a very successful year for supporting our local economy, addressing areas of need, updating our organization, and creating necessary change in our region.</w:t>
            </w:r>
          </w:p>
          <w:p w14:paraId="5AFF29E5" w14:textId="76C935B6" w:rsidR="004D51EA" w:rsidRPr="004D51EA" w:rsidRDefault="004D51EA" w:rsidP="004D51EA">
            <w:pPr>
              <w:spacing w:before="240" w:after="0" w:line="240" w:lineRule="auto"/>
              <w:rPr>
                <w:rFonts w:cs="Arial"/>
                <w:sz w:val="20"/>
                <w:szCs w:val="20"/>
              </w:rPr>
            </w:pPr>
            <w:r w:rsidRPr="004D51EA">
              <w:rPr>
                <w:rFonts w:cs="Arial"/>
                <w:sz w:val="20"/>
                <w:szCs w:val="20"/>
              </w:rPr>
              <w:t>CFLSLR successfully reached its lending value target for the year. However, while the number of loans approved exceeded projections, challenges such as loan withdrawals and pending disbursements impacted the final count. Despite these setbacks, the increased volume of loan applications and inquiries demonstrates growing confidence in CFLSLR's services, signaling positive momentum for the upcoming year. Efforts to streamline internal loan processes are underway to enhance efficiency and bolster lending capacity.</w:t>
            </w:r>
          </w:p>
          <w:p w14:paraId="665712C4" w14:textId="710CEA13" w:rsidR="004D51EA" w:rsidRPr="004D51EA" w:rsidRDefault="004D51EA" w:rsidP="004D51EA">
            <w:pPr>
              <w:spacing w:before="240" w:after="0" w:line="240" w:lineRule="auto"/>
              <w:rPr>
                <w:rFonts w:cs="Arial"/>
                <w:sz w:val="20"/>
                <w:szCs w:val="20"/>
              </w:rPr>
            </w:pPr>
            <w:r w:rsidRPr="004D51EA">
              <w:rPr>
                <w:rFonts w:cs="Arial"/>
                <w:sz w:val="20"/>
                <w:szCs w:val="20"/>
              </w:rPr>
              <w:t xml:space="preserve">Throughout the year, CFLSLR spearheaded a diverse range of projects, seminars, and workshops aimed at supporting local businesses and bolstering the regional economy. Notable initiatives included: Digital Service Squad, Mini Monster Halloween, Business Week Series, RCMP Business Theft Prevention, AI For Business, Business Insurance, Glow Getter Conference, Moonlight Madness, Lemonade Day, The Slave Lake Regional Job Fair, </w:t>
            </w:r>
            <w:proofErr w:type="spellStart"/>
            <w:r w:rsidRPr="004D51EA">
              <w:rPr>
                <w:rFonts w:cs="Arial"/>
                <w:sz w:val="20"/>
                <w:szCs w:val="20"/>
              </w:rPr>
              <w:t>Headstart</w:t>
            </w:r>
            <w:proofErr w:type="spellEnd"/>
            <w:r w:rsidRPr="004D51EA">
              <w:rPr>
                <w:rFonts w:cs="Arial"/>
                <w:sz w:val="20"/>
                <w:szCs w:val="20"/>
              </w:rPr>
              <w:t xml:space="preserve"> in Business, Thrive, Clean Economy Training, Diversity Equity and Inclusion for Business, Meet your Match, Hyperdrive, Community Action for Workforce Development (CAWD), Adulting 101, Budgeting Basics, Empowering Indigenous Business Women, Mothers Day Business Boost, in addition to many in-person one-on-one interactions with business owners and community members through door-to-door campaigns. Much of the work completed was possible </w:t>
            </w:r>
            <w:r w:rsidRPr="004D51EA">
              <w:rPr>
                <w:rFonts w:cs="Arial"/>
                <w:sz w:val="20"/>
                <w:szCs w:val="20"/>
              </w:rPr>
              <w:lastRenderedPageBreak/>
              <w:t xml:space="preserve">through program funding utilized in tandem with Prairies Can operational funding including but not limited to funds coming from Government of Alberta and through Canadian Community Economic Development Network (CCEDNET). In addition, the recruitment of additional staff/contractors helped us complete the enormous increase in workload. In the 2023-2024 fiscal year we had upwards of nine staff/contractors working with CFLSLR helping us increase the visibility and positive impact we had in the Slave Lake Region. The results proved a significant increase in our advisory services, training session participants, and projects that CFLSLR has reported on for the 2023-2024 year. </w:t>
            </w:r>
          </w:p>
          <w:p w14:paraId="514B2E98" w14:textId="37A1BA0A" w:rsidR="004D51EA" w:rsidRPr="004D51EA" w:rsidRDefault="004D51EA" w:rsidP="004D51EA">
            <w:pPr>
              <w:spacing w:before="240" w:after="0" w:line="240" w:lineRule="auto"/>
              <w:rPr>
                <w:rFonts w:cs="Arial"/>
                <w:sz w:val="20"/>
                <w:szCs w:val="20"/>
              </w:rPr>
            </w:pPr>
            <w:r w:rsidRPr="004D51EA">
              <w:rPr>
                <w:rFonts w:cs="Arial"/>
                <w:sz w:val="20"/>
                <w:szCs w:val="20"/>
              </w:rPr>
              <w:t xml:space="preserve">CFLSLR worked on and continues to work on a lot of internal opportunities including the conclusion of our strategic planning, new mission statement, vision statement and new strategic goals for the organization presented in the submitted Operational Plan 2024-2025. CFLSLR worked on our policy documents to update them to make them easier to navigate. In addition to these policy format changes, CFLSLR also enlisted a new Diversity Equity and Inclusion policy as part of our mission to become the positive change we’d like to see in our region. CFLSLR continues developing newly aligned loan products and outreach campaigns as per our strategic goal (geared to be released in the 2024-2025 fiscal year) to become more accessible, current, and relevant. Our new operational strategy will focus on a client centric approach encompassing the entire lifecycle of an entrepreneur and business with hopes to develop stronger entrepreneurs and businesses for the Slave Lake Region. CFLSLR focussed the later half of the 2023-2024 year on building relationships with external organizations, municipalities, Indigenous and Metis communities. Successful partnerships and relationships have resulted in these efforts furthering CFLSLR’s reach and impact on our region. Examples of this include the partnerships for the MMIWG Finding Financial Literacy and Economic Independence project (to come next fiscal year), Community Action for Workforce Development, Slave Lake Regional Job Fair, and more. </w:t>
            </w:r>
          </w:p>
          <w:p w14:paraId="4C476465" w14:textId="77777777" w:rsidR="004D51EA" w:rsidRPr="004D51EA" w:rsidRDefault="004D51EA" w:rsidP="004D51EA">
            <w:pPr>
              <w:spacing w:before="240" w:after="0" w:line="240" w:lineRule="auto"/>
              <w:rPr>
                <w:rFonts w:cs="Arial"/>
                <w:sz w:val="20"/>
                <w:szCs w:val="20"/>
              </w:rPr>
            </w:pPr>
            <w:r w:rsidRPr="004D51EA">
              <w:rPr>
                <w:rFonts w:cs="Arial"/>
                <w:sz w:val="20"/>
                <w:szCs w:val="20"/>
              </w:rPr>
              <w:t xml:space="preserve">Some of the challenges faced by CFLSLR are manageable but significant. Due to the significant increase in staffing CFLSLR had challenges sharing the office space we currently have. This has prompted CFLSLR to look into new office alternatives/options for the 2024-2025 fiscal year as we project the increased staff/contractors will continue to work in office on new projects. Funding to increase the space or to retrofit the existing space is very limited. This could possibly put strain on the operational budget.  Many options will be explored to mitigate this challenge and find a reasonable solution. Another challenge CFLSLR has been faced with is the instability caused by the after math of the pandemic and rising interest costs. The affects of both have either placed businesses into difficult situations, or have prevented entrepreneurs from investing into new, existing or to purchase businesses. CFLSLR hopes to find ways to further support struggling businesses. </w:t>
            </w:r>
          </w:p>
          <w:p w14:paraId="248E165C" w14:textId="2A720078" w:rsidR="00F609C9" w:rsidRDefault="004D51EA" w:rsidP="004D51EA">
            <w:pPr>
              <w:spacing w:before="240"/>
              <w:rPr>
                <w:rFonts w:cs="Arial"/>
                <w:sz w:val="20"/>
                <w:szCs w:val="20"/>
              </w:rPr>
            </w:pPr>
            <w:r w:rsidRPr="004D51EA">
              <w:rPr>
                <w:rFonts w:cs="Arial"/>
                <w:sz w:val="20"/>
                <w:szCs w:val="20"/>
              </w:rPr>
              <w:t>In summary, the 2023-2024 year has been characterized by achievements, challenges, and ongoing commitment to advancing economic prosperity and community well-being in the Lesser Slave Lake Region. Through strategic planning, program innovation, and collaborative partnerships, CFLSLR remains steadfast in its mission to empower entrepreneurs and foster sustainable growth.</w:t>
            </w:r>
          </w:p>
        </w:tc>
      </w:tr>
    </w:tbl>
    <w:p w14:paraId="661A9A31" w14:textId="77777777" w:rsidR="00F105C2" w:rsidRDefault="00F105C2" w:rsidP="00476214">
      <w:pPr>
        <w:spacing w:before="240"/>
        <w:rPr>
          <w:rFonts w:cs="Arial"/>
          <w:b/>
          <w:i/>
          <w:sz w:val="24"/>
          <w:szCs w:val="20"/>
          <w:u w:val="single"/>
        </w:rPr>
      </w:pPr>
    </w:p>
    <w:sectPr w:rsidR="00F105C2" w:rsidSect="006A54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4FC63" w14:textId="77777777" w:rsidR="006A544F" w:rsidRDefault="006A544F" w:rsidP="00CC123A">
      <w:pPr>
        <w:spacing w:after="0" w:line="240" w:lineRule="auto"/>
      </w:pPr>
      <w:r>
        <w:separator/>
      </w:r>
    </w:p>
  </w:endnote>
  <w:endnote w:type="continuationSeparator" w:id="0">
    <w:p w14:paraId="67BEE23D" w14:textId="77777777" w:rsidR="006A544F" w:rsidRDefault="006A544F" w:rsidP="00CC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3E67" w14:textId="77777777" w:rsidR="00B91766" w:rsidRDefault="00B9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2E24" w14:textId="77777777" w:rsidR="00B91766" w:rsidRDefault="00B91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1175" w14:textId="77777777" w:rsidR="00B91766" w:rsidRDefault="00B9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D4662" w14:textId="77777777" w:rsidR="006A544F" w:rsidRDefault="006A544F" w:rsidP="00CC123A">
      <w:pPr>
        <w:spacing w:after="0" w:line="240" w:lineRule="auto"/>
      </w:pPr>
      <w:r>
        <w:separator/>
      </w:r>
    </w:p>
  </w:footnote>
  <w:footnote w:type="continuationSeparator" w:id="0">
    <w:p w14:paraId="1435E244" w14:textId="77777777" w:rsidR="006A544F" w:rsidRDefault="006A544F" w:rsidP="00CC123A">
      <w:pPr>
        <w:spacing w:after="0" w:line="240" w:lineRule="auto"/>
      </w:pPr>
      <w:r>
        <w:continuationSeparator/>
      </w:r>
    </w:p>
  </w:footnote>
  <w:footnote w:id="1">
    <w:p w14:paraId="65946181" w14:textId="77777777" w:rsidR="004E0068" w:rsidRPr="004E0068" w:rsidRDefault="004E0068">
      <w:pPr>
        <w:pStyle w:val="FootnoteText"/>
        <w:rPr>
          <w:lang w:val="en-US"/>
        </w:rPr>
      </w:pPr>
      <w:r>
        <w:rPr>
          <w:rStyle w:val="FootnoteReference"/>
        </w:rPr>
        <w:footnoteRef/>
      </w:r>
      <w:r>
        <w:t xml:space="preserve"> </w:t>
      </w:r>
      <w:r>
        <w:rPr>
          <w:lang w:val="en-US"/>
        </w:rPr>
        <w:t>Estimated at the time of lending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5A24" w14:textId="77777777" w:rsidR="00B91766" w:rsidRDefault="00B9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F72E" w14:textId="77777777" w:rsidR="00CC123A" w:rsidRDefault="00CC123A">
    <w:pPr>
      <w:pStyle w:val="Header"/>
    </w:pPr>
    <w:r>
      <w:t>Performance Results for 2013-14</w:t>
    </w:r>
    <w:r w:rsidR="00387C16">
      <w:t xml:space="preserve">   </w:t>
    </w:r>
    <w:r w:rsidR="00387C16" w:rsidRPr="00387C16">
      <w:rPr>
        <w:u w:val="single"/>
      </w:rPr>
      <w:t>Insert Name of CF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A89E" w14:textId="518DA8F3" w:rsidR="00903BAE" w:rsidRDefault="002F0A60" w:rsidP="00903BAE">
    <w:pPr>
      <w:keepNext/>
      <w:keepLines/>
      <w:tabs>
        <w:tab w:val="left" w:pos="6024"/>
        <w:tab w:val="left" w:pos="7159"/>
      </w:tabs>
      <w:autoSpaceDE w:val="0"/>
      <w:autoSpaceDN w:val="0"/>
      <w:adjustRightInd w:val="0"/>
      <w:jc w:val="center"/>
      <w:rPr>
        <w:rFonts w:cs="Arial"/>
        <w:b/>
        <w:sz w:val="20"/>
        <w:szCs w:val="20"/>
      </w:rPr>
    </w:pPr>
    <w:r>
      <w:t>Performance Results for 20</w:t>
    </w:r>
    <w:r w:rsidR="001048DF">
      <w:t>2</w:t>
    </w:r>
    <w:r w:rsidR="00B91766">
      <w:t>3</w:t>
    </w:r>
    <w:r>
      <w:t>-</w:t>
    </w:r>
    <w:r w:rsidR="00D97949">
      <w:t>2</w:t>
    </w:r>
    <w:r w:rsidR="00B91766">
      <w:t>4</w:t>
    </w:r>
    <w:r w:rsidR="00A9055B">
      <w:t xml:space="preserve">   </w:t>
    </w:r>
    <w:r w:rsidR="004D51EA">
      <w:rPr>
        <w:u w:val="single"/>
      </w:rPr>
      <w:t>Community Futures Lesser Slave Lake Region</w:t>
    </w:r>
    <w:r w:rsidR="00903BAE" w:rsidRPr="00903BAE">
      <w:rPr>
        <w:rFonts w:cs="Arial"/>
        <w:b/>
        <w:sz w:val="20"/>
        <w:szCs w:val="20"/>
      </w:rPr>
      <w:t xml:space="preserve"> </w:t>
    </w:r>
  </w:p>
  <w:p w14:paraId="3B696F3E" w14:textId="77777777" w:rsidR="00A9055B" w:rsidRPr="00855202" w:rsidRDefault="00855202" w:rsidP="00855202">
    <w:pPr>
      <w:spacing w:line="240" w:lineRule="auto"/>
      <w:rPr>
        <w:sz w:val="18"/>
        <w:u w:val="single"/>
      </w:rPr>
    </w:pPr>
    <w:r w:rsidRPr="00855202">
      <w:rPr>
        <w:sz w:val="20"/>
        <w:lang w:val="en-GB"/>
      </w:rPr>
      <w:t xml:space="preserve">Community Futures (CF) is a program that supports community economic development and builds the capacity of communities to realize their full sustainable potential.  The purpose of the CF Program is to help communities develop and implement </w:t>
    </w:r>
    <w:r w:rsidRPr="00855202">
      <w:rPr>
        <w:i/>
        <w:iCs/>
        <w:sz w:val="20"/>
        <w:lang w:val="en-GB"/>
      </w:rPr>
      <w:t>local solutions to local problems</w:t>
    </w:r>
    <w:r w:rsidRPr="00855202">
      <w:rPr>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03A4"/>
    <w:multiLevelType w:val="hybridMultilevel"/>
    <w:tmpl w:val="73DE88F8"/>
    <w:lvl w:ilvl="0" w:tplc="7B40C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C209E2"/>
    <w:multiLevelType w:val="hybridMultilevel"/>
    <w:tmpl w:val="1ED4F5FC"/>
    <w:lvl w:ilvl="0" w:tplc="55C613EC">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C633E36"/>
    <w:multiLevelType w:val="hybridMultilevel"/>
    <w:tmpl w:val="150A8936"/>
    <w:lvl w:ilvl="0" w:tplc="AEB62574">
      <w:start w:val="1"/>
      <w:numFmt w:val="decimal"/>
      <w:lvlText w:val="%1."/>
      <w:lvlJc w:val="left"/>
      <w:pPr>
        <w:ind w:left="720" w:hanging="360"/>
      </w:pPr>
      <w:rPr>
        <w:color w:val="000000" w:themeColor="text1"/>
        <w:lang w:val="en-US"/>
      </w:rPr>
    </w:lvl>
    <w:lvl w:ilvl="1" w:tplc="435CACC4">
      <w:numFmt w:val="bullet"/>
      <w:lvlText w:val="•"/>
      <w:lvlJc w:val="left"/>
      <w:pPr>
        <w:ind w:left="1440" w:hanging="360"/>
      </w:pPr>
      <w:rPr>
        <w:rFonts w:ascii="Calibri" w:eastAsiaTheme="minorHAnsi" w:hAnsi="Calibri" w:cstheme="min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30631B"/>
    <w:multiLevelType w:val="hybridMultilevel"/>
    <w:tmpl w:val="A8FECB1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543079C"/>
    <w:multiLevelType w:val="hybridMultilevel"/>
    <w:tmpl w:val="2072F844"/>
    <w:lvl w:ilvl="0" w:tplc="1009000F">
      <w:start w:val="1"/>
      <w:numFmt w:val="decimal"/>
      <w:lvlText w:val="%1."/>
      <w:lvlJc w:val="left"/>
      <w:pPr>
        <w:ind w:left="937" w:hanging="360"/>
      </w:pPr>
    </w:lvl>
    <w:lvl w:ilvl="1" w:tplc="10090019" w:tentative="1">
      <w:start w:val="1"/>
      <w:numFmt w:val="lowerLetter"/>
      <w:lvlText w:val="%2."/>
      <w:lvlJc w:val="left"/>
      <w:pPr>
        <w:ind w:left="1657" w:hanging="360"/>
      </w:pPr>
    </w:lvl>
    <w:lvl w:ilvl="2" w:tplc="1009001B" w:tentative="1">
      <w:start w:val="1"/>
      <w:numFmt w:val="lowerRoman"/>
      <w:lvlText w:val="%3."/>
      <w:lvlJc w:val="right"/>
      <w:pPr>
        <w:ind w:left="2377" w:hanging="180"/>
      </w:pPr>
    </w:lvl>
    <w:lvl w:ilvl="3" w:tplc="1009000F" w:tentative="1">
      <w:start w:val="1"/>
      <w:numFmt w:val="decimal"/>
      <w:lvlText w:val="%4."/>
      <w:lvlJc w:val="left"/>
      <w:pPr>
        <w:ind w:left="3097" w:hanging="360"/>
      </w:pPr>
    </w:lvl>
    <w:lvl w:ilvl="4" w:tplc="10090019" w:tentative="1">
      <w:start w:val="1"/>
      <w:numFmt w:val="lowerLetter"/>
      <w:lvlText w:val="%5."/>
      <w:lvlJc w:val="left"/>
      <w:pPr>
        <w:ind w:left="3817" w:hanging="360"/>
      </w:pPr>
    </w:lvl>
    <w:lvl w:ilvl="5" w:tplc="1009001B" w:tentative="1">
      <w:start w:val="1"/>
      <w:numFmt w:val="lowerRoman"/>
      <w:lvlText w:val="%6."/>
      <w:lvlJc w:val="right"/>
      <w:pPr>
        <w:ind w:left="4537" w:hanging="180"/>
      </w:pPr>
    </w:lvl>
    <w:lvl w:ilvl="6" w:tplc="1009000F" w:tentative="1">
      <w:start w:val="1"/>
      <w:numFmt w:val="decimal"/>
      <w:lvlText w:val="%7."/>
      <w:lvlJc w:val="left"/>
      <w:pPr>
        <w:ind w:left="5257" w:hanging="360"/>
      </w:pPr>
    </w:lvl>
    <w:lvl w:ilvl="7" w:tplc="10090019" w:tentative="1">
      <w:start w:val="1"/>
      <w:numFmt w:val="lowerLetter"/>
      <w:lvlText w:val="%8."/>
      <w:lvlJc w:val="left"/>
      <w:pPr>
        <w:ind w:left="5977" w:hanging="360"/>
      </w:pPr>
    </w:lvl>
    <w:lvl w:ilvl="8" w:tplc="1009001B" w:tentative="1">
      <w:start w:val="1"/>
      <w:numFmt w:val="lowerRoman"/>
      <w:lvlText w:val="%9."/>
      <w:lvlJc w:val="right"/>
      <w:pPr>
        <w:ind w:left="6697" w:hanging="180"/>
      </w:pPr>
    </w:lvl>
  </w:abstractNum>
  <w:abstractNum w:abstractNumId="5" w15:restartNumberingAfterBreak="0">
    <w:nsid w:val="3D98274A"/>
    <w:multiLevelType w:val="hybridMultilevel"/>
    <w:tmpl w:val="ED3471B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C30219D"/>
    <w:multiLevelType w:val="hybridMultilevel"/>
    <w:tmpl w:val="640E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6B1203"/>
    <w:multiLevelType w:val="hybridMultilevel"/>
    <w:tmpl w:val="41C461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DDA38B4"/>
    <w:multiLevelType w:val="hybridMultilevel"/>
    <w:tmpl w:val="32428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C628D4"/>
    <w:multiLevelType w:val="hybridMultilevel"/>
    <w:tmpl w:val="793ECCB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063406"/>
    <w:multiLevelType w:val="hybridMultilevel"/>
    <w:tmpl w:val="D07CB9B6"/>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71044A"/>
    <w:multiLevelType w:val="hybridMultilevel"/>
    <w:tmpl w:val="995A9550"/>
    <w:lvl w:ilvl="0" w:tplc="BC4AEB10">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AB17C9"/>
    <w:multiLevelType w:val="multilevel"/>
    <w:tmpl w:val="79C2A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27EC2"/>
    <w:multiLevelType w:val="hybridMultilevel"/>
    <w:tmpl w:val="9D5095DE"/>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555568">
    <w:abstractNumId w:val="0"/>
  </w:num>
  <w:num w:numId="2" w16cid:durableId="1880701032">
    <w:abstractNumId w:val="11"/>
  </w:num>
  <w:num w:numId="3" w16cid:durableId="161939543">
    <w:abstractNumId w:val="2"/>
  </w:num>
  <w:num w:numId="4" w16cid:durableId="771438517">
    <w:abstractNumId w:val="3"/>
  </w:num>
  <w:num w:numId="5" w16cid:durableId="724913024">
    <w:abstractNumId w:val="10"/>
  </w:num>
  <w:num w:numId="6" w16cid:durableId="1747268389">
    <w:abstractNumId w:val="13"/>
  </w:num>
  <w:num w:numId="7" w16cid:durableId="1280844316">
    <w:abstractNumId w:val="7"/>
  </w:num>
  <w:num w:numId="8" w16cid:durableId="737634763">
    <w:abstractNumId w:val="5"/>
  </w:num>
  <w:num w:numId="9" w16cid:durableId="1280992610">
    <w:abstractNumId w:val="4"/>
  </w:num>
  <w:num w:numId="10" w16cid:durableId="9257713">
    <w:abstractNumId w:val="9"/>
  </w:num>
  <w:num w:numId="11" w16cid:durableId="1523124897">
    <w:abstractNumId w:val="1"/>
  </w:num>
  <w:num w:numId="12" w16cid:durableId="1532036202">
    <w:abstractNumId w:val="12"/>
  </w:num>
  <w:num w:numId="13" w16cid:durableId="1147085122">
    <w:abstractNumId w:val="6"/>
  </w:num>
  <w:num w:numId="14" w16cid:durableId="814877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23A"/>
    <w:rsid w:val="000032F8"/>
    <w:rsid w:val="00042B8D"/>
    <w:rsid w:val="000A68DF"/>
    <w:rsid w:val="000E446D"/>
    <w:rsid w:val="000F1E3F"/>
    <w:rsid w:val="000F794C"/>
    <w:rsid w:val="001048DF"/>
    <w:rsid w:val="00124D7E"/>
    <w:rsid w:val="00136C60"/>
    <w:rsid w:val="00164DFE"/>
    <w:rsid w:val="001842E1"/>
    <w:rsid w:val="001A0388"/>
    <w:rsid w:val="001A55FE"/>
    <w:rsid w:val="001A5D7A"/>
    <w:rsid w:val="001F63A6"/>
    <w:rsid w:val="0020118B"/>
    <w:rsid w:val="00204964"/>
    <w:rsid w:val="0022039D"/>
    <w:rsid w:val="002733B9"/>
    <w:rsid w:val="002B1845"/>
    <w:rsid w:val="002F0A60"/>
    <w:rsid w:val="00305D11"/>
    <w:rsid w:val="00326C17"/>
    <w:rsid w:val="00352DD5"/>
    <w:rsid w:val="00370843"/>
    <w:rsid w:val="00387C16"/>
    <w:rsid w:val="003B364D"/>
    <w:rsid w:val="003D46F2"/>
    <w:rsid w:val="003D6046"/>
    <w:rsid w:val="003E2596"/>
    <w:rsid w:val="00416424"/>
    <w:rsid w:val="00435FD8"/>
    <w:rsid w:val="004707C8"/>
    <w:rsid w:val="00476214"/>
    <w:rsid w:val="004D51EA"/>
    <w:rsid w:val="004E0068"/>
    <w:rsid w:val="00524D65"/>
    <w:rsid w:val="00535C65"/>
    <w:rsid w:val="0055116A"/>
    <w:rsid w:val="0056519D"/>
    <w:rsid w:val="005C3625"/>
    <w:rsid w:val="005D635F"/>
    <w:rsid w:val="0061366E"/>
    <w:rsid w:val="00614CA8"/>
    <w:rsid w:val="0063129F"/>
    <w:rsid w:val="00637BD2"/>
    <w:rsid w:val="006568E7"/>
    <w:rsid w:val="006A544F"/>
    <w:rsid w:val="006C2CCB"/>
    <w:rsid w:val="006C565E"/>
    <w:rsid w:val="006C618A"/>
    <w:rsid w:val="006F52BA"/>
    <w:rsid w:val="006F5326"/>
    <w:rsid w:val="00716865"/>
    <w:rsid w:val="00716BF1"/>
    <w:rsid w:val="00721398"/>
    <w:rsid w:val="0074505F"/>
    <w:rsid w:val="00790628"/>
    <w:rsid w:val="008070B2"/>
    <w:rsid w:val="00855202"/>
    <w:rsid w:val="00876ADF"/>
    <w:rsid w:val="008835BB"/>
    <w:rsid w:val="008B0CCB"/>
    <w:rsid w:val="008F7F84"/>
    <w:rsid w:val="00903BAE"/>
    <w:rsid w:val="0090536B"/>
    <w:rsid w:val="009212B6"/>
    <w:rsid w:val="00971204"/>
    <w:rsid w:val="009F415F"/>
    <w:rsid w:val="00A57ABB"/>
    <w:rsid w:val="00A65AAC"/>
    <w:rsid w:val="00A9055B"/>
    <w:rsid w:val="00AD3AAD"/>
    <w:rsid w:val="00B069C6"/>
    <w:rsid w:val="00B3074E"/>
    <w:rsid w:val="00B65BB9"/>
    <w:rsid w:val="00B86B60"/>
    <w:rsid w:val="00B91766"/>
    <w:rsid w:val="00BB1612"/>
    <w:rsid w:val="00BD0981"/>
    <w:rsid w:val="00BE6567"/>
    <w:rsid w:val="00C06A6C"/>
    <w:rsid w:val="00C7787C"/>
    <w:rsid w:val="00C85229"/>
    <w:rsid w:val="00CC123A"/>
    <w:rsid w:val="00CE1F1B"/>
    <w:rsid w:val="00D011D2"/>
    <w:rsid w:val="00D01222"/>
    <w:rsid w:val="00D262DF"/>
    <w:rsid w:val="00D27BC2"/>
    <w:rsid w:val="00D67217"/>
    <w:rsid w:val="00D97949"/>
    <w:rsid w:val="00E347D4"/>
    <w:rsid w:val="00E351D5"/>
    <w:rsid w:val="00E361E6"/>
    <w:rsid w:val="00E514E4"/>
    <w:rsid w:val="00E72307"/>
    <w:rsid w:val="00E81EA2"/>
    <w:rsid w:val="00E8370D"/>
    <w:rsid w:val="00E9578A"/>
    <w:rsid w:val="00EB684E"/>
    <w:rsid w:val="00EC74F0"/>
    <w:rsid w:val="00F019C9"/>
    <w:rsid w:val="00F105C2"/>
    <w:rsid w:val="00F40352"/>
    <w:rsid w:val="00F464A9"/>
    <w:rsid w:val="00F609C9"/>
    <w:rsid w:val="00FA471E"/>
    <w:rsid w:val="00FE5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5987"/>
  <w15:docId w15:val="{54ABAEC8-1A74-4509-B4A0-670D910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3A"/>
    <w:rPr>
      <w:rFonts w:ascii="Tahoma" w:hAnsi="Tahoma" w:cs="Tahoma"/>
      <w:sz w:val="16"/>
      <w:szCs w:val="16"/>
    </w:rPr>
  </w:style>
  <w:style w:type="paragraph" w:styleId="Header">
    <w:name w:val="header"/>
    <w:basedOn w:val="Normal"/>
    <w:link w:val="HeaderChar"/>
    <w:uiPriority w:val="99"/>
    <w:unhideWhenUsed/>
    <w:rsid w:val="00CC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23A"/>
  </w:style>
  <w:style w:type="paragraph" w:styleId="Footer">
    <w:name w:val="footer"/>
    <w:basedOn w:val="Normal"/>
    <w:link w:val="FooterChar"/>
    <w:uiPriority w:val="99"/>
    <w:unhideWhenUsed/>
    <w:rsid w:val="00CC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23A"/>
  </w:style>
  <w:style w:type="paragraph" w:styleId="ListParagraph">
    <w:name w:val="List Paragraph"/>
    <w:basedOn w:val="Normal"/>
    <w:uiPriority w:val="34"/>
    <w:qFormat/>
    <w:rsid w:val="008F7F84"/>
    <w:pPr>
      <w:ind w:left="720"/>
      <w:contextualSpacing/>
    </w:pPr>
  </w:style>
  <w:style w:type="paragraph" w:customStyle="1" w:styleId="Default">
    <w:name w:val="Default"/>
    <w:rsid w:val="008F7F84"/>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table" w:styleId="TableGrid">
    <w:name w:val="Table Grid"/>
    <w:basedOn w:val="TableNormal"/>
    <w:uiPriority w:val="59"/>
    <w:rsid w:val="00F6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5202"/>
    <w:pPr>
      <w:overflowPunct w:val="0"/>
      <w:autoSpaceDE w:val="0"/>
      <w:autoSpaceDN w:val="0"/>
      <w:adjustRightInd w:val="0"/>
      <w:spacing w:after="0" w:line="240" w:lineRule="auto"/>
      <w:textAlignment w:val="baseline"/>
    </w:pPr>
    <w:rPr>
      <w:rFonts w:ascii="Arial" w:eastAsia="Times New Roman" w:hAnsi="Arial" w:cs="Arial"/>
      <w:sz w:val="24"/>
      <w:szCs w:val="20"/>
      <w:lang w:val="en-US"/>
    </w:rPr>
  </w:style>
  <w:style w:type="character" w:customStyle="1" w:styleId="BodyText2Char">
    <w:name w:val="Body Text 2 Char"/>
    <w:basedOn w:val="DefaultParagraphFont"/>
    <w:link w:val="BodyText2"/>
    <w:semiHidden/>
    <w:rsid w:val="00855202"/>
    <w:rPr>
      <w:rFonts w:ascii="Arial" w:eastAsia="Times New Roman" w:hAnsi="Arial" w:cs="Arial"/>
      <w:sz w:val="24"/>
      <w:szCs w:val="20"/>
      <w:lang w:val="en-US"/>
    </w:rPr>
  </w:style>
  <w:style w:type="character" w:styleId="CommentReference">
    <w:name w:val="annotation reference"/>
    <w:basedOn w:val="DefaultParagraphFont"/>
    <w:uiPriority w:val="99"/>
    <w:semiHidden/>
    <w:unhideWhenUsed/>
    <w:rsid w:val="00855202"/>
    <w:rPr>
      <w:sz w:val="16"/>
      <w:szCs w:val="16"/>
    </w:rPr>
  </w:style>
  <w:style w:type="paragraph" w:styleId="CommentText">
    <w:name w:val="annotation text"/>
    <w:basedOn w:val="Normal"/>
    <w:link w:val="CommentTextChar"/>
    <w:uiPriority w:val="99"/>
    <w:semiHidden/>
    <w:unhideWhenUsed/>
    <w:rsid w:val="00855202"/>
    <w:pPr>
      <w:spacing w:line="240" w:lineRule="auto"/>
    </w:pPr>
    <w:rPr>
      <w:sz w:val="20"/>
      <w:szCs w:val="20"/>
    </w:rPr>
  </w:style>
  <w:style w:type="character" w:customStyle="1" w:styleId="CommentTextChar">
    <w:name w:val="Comment Text Char"/>
    <w:basedOn w:val="DefaultParagraphFont"/>
    <w:link w:val="CommentText"/>
    <w:uiPriority w:val="99"/>
    <w:semiHidden/>
    <w:rsid w:val="00855202"/>
    <w:rPr>
      <w:sz w:val="20"/>
      <w:szCs w:val="20"/>
    </w:rPr>
  </w:style>
  <w:style w:type="paragraph" w:styleId="CommentSubject">
    <w:name w:val="annotation subject"/>
    <w:basedOn w:val="CommentText"/>
    <w:next w:val="CommentText"/>
    <w:link w:val="CommentSubjectChar"/>
    <w:uiPriority w:val="99"/>
    <w:semiHidden/>
    <w:unhideWhenUsed/>
    <w:rsid w:val="00855202"/>
    <w:rPr>
      <w:b/>
      <w:bCs/>
    </w:rPr>
  </w:style>
  <w:style w:type="character" w:customStyle="1" w:styleId="CommentSubjectChar">
    <w:name w:val="Comment Subject Char"/>
    <w:basedOn w:val="CommentTextChar"/>
    <w:link w:val="CommentSubject"/>
    <w:uiPriority w:val="99"/>
    <w:semiHidden/>
    <w:rsid w:val="00855202"/>
    <w:rPr>
      <w:b/>
      <w:bCs/>
      <w:sz w:val="20"/>
      <w:szCs w:val="20"/>
    </w:rPr>
  </w:style>
  <w:style w:type="character" w:styleId="Hyperlink">
    <w:name w:val="Hyperlink"/>
    <w:basedOn w:val="DefaultParagraphFont"/>
    <w:uiPriority w:val="99"/>
    <w:unhideWhenUsed/>
    <w:rsid w:val="000A68DF"/>
    <w:rPr>
      <w:color w:val="0000FF" w:themeColor="hyperlink"/>
      <w:u w:val="single"/>
    </w:rPr>
  </w:style>
  <w:style w:type="paragraph" w:styleId="FootnoteText">
    <w:name w:val="footnote text"/>
    <w:basedOn w:val="Normal"/>
    <w:link w:val="FootnoteTextChar"/>
    <w:uiPriority w:val="99"/>
    <w:semiHidden/>
    <w:unhideWhenUsed/>
    <w:rsid w:val="004E0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068"/>
    <w:rPr>
      <w:sz w:val="20"/>
      <w:szCs w:val="20"/>
    </w:rPr>
  </w:style>
  <w:style w:type="character" w:styleId="FootnoteReference">
    <w:name w:val="footnote reference"/>
    <w:basedOn w:val="DefaultParagraphFont"/>
    <w:uiPriority w:val="99"/>
    <w:semiHidden/>
    <w:unhideWhenUsed/>
    <w:rsid w:val="004E0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220805">
      <w:bodyDiv w:val="1"/>
      <w:marLeft w:val="0"/>
      <w:marRight w:val="0"/>
      <w:marTop w:val="0"/>
      <w:marBottom w:val="0"/>
      <w:divBdr>
        <w:top w:val="none" w:sz="0" w:space="0" w:color="auto"/>
        <w:left w:val="none" w:sz="0" w:space="0" w:color="auto"/>
        <w:bottom w:val="none" w:sz="0" w:space="0" w:color="auto"/>
        <w:right w:val="none" w:sz="0" w:space="0" w:color="auto"/>
      </w:divBdr>
      <w:divsChild>
        <w:div w:id="1974748470">
          <w:marLeft w:val="0"/>
          <w:marRight w:val="0"/>
          <w:marTop w:val="0"/>
          <w:marBottom w:val="0"/>
          <w:divBdr>
            <w:top w:val="none" w:sz="0" w:space="0" w:color="auto"/>
            <w:left w:val="none" w:sz="0" w:space="0" w:color="auto"/>
            <w:bottom w:val="none" w:sz="0" w:space="0" w:color="auto"/>
            <w:right w:val="none" w:sz="0" w:space="0" w:color="auto"/>
          </w:divBdr>
          <w:divsChild>
            <w:div w:id="1122383982">
              <w:marLeft w:val="0"/>
              <w:marRight w:val="0"/>
              <w:marTop w:val="0"/>
              <w:marBottom w:val="0"/>
              <w:divBdr>
                <w:top w:val="none" w:sz="0" w:space="0" w:color="auto"/>
                <w:left w:val="none" w:sz="0" w:space="0" w:color="auto"/>
                <w:bottom w:val="none" w:sz="0" w:space="0" w:color="auto"/>
                <w:right w:val="none" w:sz="0" w:space="0" w:color="auto"/>
              </w:divBdr>
              <w:divsChild>
                <w:div w:id="128669697">
                  <w:marLeft w:val="0"/>
                  <w:marRight w:val="0"/>
                  <w:marTop w:val="0"/>
                  <w:marBottom w:val="0"/>
                  <w:divBdr>
                    <w:top w:val="none" w:sz="0" w:space="0" w:color="auto"/>
                    <w:left w:val="none" w:sz="0" w:space="0" w:color="auto"/>
                    <w:bottom w:val="none" w:sz="0" w:space="0" w:color="auto"/>
                    <w:right w:val="none" w:sz="0" w:space="0" w:color="auto"/>
                  </w:divBdr>
                  <w:divsChild>
                    <w:div w:id="51053574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859A-74D5-4FDC-83F0-141021F0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Western Economic Diversification</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Cahoon</dc:creator>
  <cp:keywords/>
  <dc:description/>
  <cp:lastModifiedBy>Craig Friesen</cp:lastModifiedBy>
  <cp:revision>15</cp:revision>
  <dcterms:created xsi:type="dcterms:W3CDTF">2019-06-25T21:41:00Z</dcterms:created>
  <dcterms:modified xsi:type="dcterms:W3CDTF">2024-05-08T20:08:00Z</dcterms:modified>
</cp:coreProperties>
</file>